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Reciprocity</w:t>
      </w:r>
    </w:p>
    <w:p>
      <w:pPr>
        <w:jc w:val="both"/>
        <w:spacing w:before="100" w:after="100"/>
        <w:ind w:start="360"/>
        <w:ind w:firstLine="360"/>
      </w:pPr>
      <w:r>
        <w:rPr/>
      </w:r>
      <w:r>
        <w:rPr/>
      </w:r>
      <w:r>
        <w:t xml:space="preserve">In order to more effectively carry out the purposes of this Act, the Governor of this State, referred to as the empowering State, may enter into a reciprocal agreement with the governor of any other state, referred to as the reciprocal state, subject to any regulations prescribed under that agreement, empowering a railroad policeman with the right to perform any police function that can be lawfully exercised by a police officer of the reciprocal state relating to the detection and apprehension of any person committing an offense or offenses against the empowering or the reciprocal state, but only to the extent that the offense is, or offenses are, committed on property owned, operated or maintained by the appointing railroad or committed against property owned or in the possession of that railroad.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