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Highway boundaries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Highway boundaries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§653. HIGHWAY BOUNDARIES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