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8111</w:t>
        <w:t xml:space="preserve">.  </w:t>
      </w:r>
      <w:r>
        <w:rPr>
          <w:b/>
        </w:rPr>
        <w:t xml:space="preserve">Purpose</w:t>
      </w:r>
    </w:p>
    <w:p>
      <w:pPr>
        <w:jc w:val="both"/>
        <w:spacing w:before="100" w:after="100"/>
        <w:ind w:start="360"/>
        <w:ind w:firstLine="360"/>
      </w:pPr>
      <w:r>
        <w:rPr/>
      </w:r>
      <w:r>
        <w:rPr/>
      </w:r>
      <w:r>
        <w:t xml:space="preserve">The Northern New England Passenger Rail Authority, as established by </w:t>
      </w:r>
      <w:r>
        <w:t>Title 5, section 12004‑F, subsection 16</w:t>
      </w:r>
      <w:r>
        <w:t xml:space="preserve">, is a body both corporate and politic in the State established for the general purpose of promoting passenger rail service as set forth in </w:t>
      </w:r>
      <w:r>
        <w:t>subchapter 1</w:t>
      </w:r>
      <w:r>
        <w:t xml:space="preserve">.  It is declared that the purposes of this chapter are public and that the authority must be regarded as performing a governmental function in carrying out this chapter.</w:t>
      </w:r>
      <w:r>
        <w:t xml:space="preserve">  </w:t>
      </w:r>
      <w:r xmlns:wp="http://schemas.openxmlformats.org/drawingml/2010/wordprocessingDrawing" xmlns:w15="http://schemas.microsoft.com/office/word/2012/wordml">
        <w:rPr>
          <w:rFonts w:ascii="Arial" w:hAnsi="Arial" w:cs="Arial"/>
          <w:sz w:val="22"/>
          <w:szCs w:val="22"/>
        </w:rPr>
        <w:t xml:space="preserve">[PL 2005, c. 312, §7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374, §3 (NEW). PL 2005, c. 312,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§8111.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§8111.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§8111.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