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w:t>
        <w:t xml:space="preserve">.  </w:t>
      </w:r>
      <w:r>
        <w:rPr>
          <w:b/>
        </w:rPr>
        <w:t xml:space="preserve">Trustees' or receivers' obligations</w:t>
      </w:r>
    </w:p>
    <w:p>
      <w:pPr>
        <w:jc w:val="both"/>
        <w:spacing w:before="100" w:after="100"/>
        <w:ind w:start="360"/>
        <w:ind w:firstLine="360"/>
      </w:pPr>
      <w:r>
        <w:rPr/>
      </w:r>
      <w:r>
        <w:rPr/>
      </w:r>
      <w:r>
        <w:t xml:space="preserve">An insurer may invest in certificates, notes or other obligations issued by trustees or receivers of any institution created or existing under the laws of the United States or of any state, district or territory thereof, which, or the assets of which, are being administered under the direction of any court having jurisdiction, if such obligation is adequately secured as to principal and interest.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§1116. Trustees' or receivers'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 Trustees' or receivers'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§1116. TRUSTEES' OR RECEIVERS'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