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1151</w:t>
        <w:t xml:space="preserve">.  </w:t>
      </w:r>
      <w:r>
        <w:rPr>
          <w:b/>
        </w:rPr>
        <w:t xml:space="preserve">Scope of chapter</w:t>
      </w:r>
    </w:p>
    <w:p>
      <w:pPr>
        <w:jc w:val="both"/>
        <w:spacing w:before="100" w:after="100"/>
        <w:ind w:start="360"/>
        <w:ind w:firstLine="360"/>
      </w:pPr>
      <w:r>
        <w:rPr/>
      </w:r>
      <w:r>
        <w:rPr/>
      </w:r>
      <w:r>
        <w:t xml:space="preserve">Except as provided in </w:t>
      </w:r>
      <w:r>
        <w:t>sections 1101</w:t>
      </w:r>
      <w:r>
        <w:t xml:space="preserve"> and </w:t>
      </w:r>
      <w:r>
        <w:t>1161</w:t>
      </w:r>
      <w:r>
        <w:t xml:space="preserve">, this chapter applies only to a domestic life or health insurer that transacts business of a type described in </w:t>
      </w:r>
      <w:r>
        <w:t>section 409, subsection 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1991, c. 385,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399, §14 (NEW). PL 1989, c. 846, §§B8,E4 (RPR). PL 1991, c. 385, §10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§1151. Scope of chapter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§1151. Scope of chapter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§1151. SCOPE OF CHAPTER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