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w:t>
        <w:t xml:space="preserve">.  </w:t>
      </w:r>
      <w:r>
        <w:rPr>
          <w:b/>
        </w:rPr>
        <w:t xml:space="preserve">Levy upon deposit</w:t>
      </w:r>
    </w:p>
    <w:p>
      <w:pPr>
        <w:jc w:val="both"/>
        <w:spacing w:before="100" w:after="100"/>
        <w:ind w:start="360"/>
        <w:ind w:firstLine="360"/>
      </w:pPr>
      <w:r>
        <w:rPr/>
      </w:r>
      <w:r>
        <w:rPr/>
      </w:r>
      <w:r>
        <w:t xml:space="preserve">No judgment creditor or other claimant of an insurer shall have the right to levy upon any of the assets held in this State as a deposit for the protection of the insurer's policyholders or policyholders and creditors. As to deposits made pursuant to the retaliatory provision, </w:t>
      </w:r>
      <w:r>
        <w:t>section 428</w:t>
      </w:r>
      <w:r>
        <w:t xml:space="preserve">, levy thereupon shall be permitted if so provided in the superintendent's order under which the deposit is required.</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§1261. Levy upon deposit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 Levy upon deposit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§1261. LEVY UPON DEPOSIT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