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Educational requirements</w:t>
      </w:r>
    </w:p>
    <w:p>
      <w:pPr>
        <w:jc w:val="both"/>
        <w:spacing w:before="100" w:after="100"/>
        <w:ind w:start="360"/>
        <w:ind w:firstLine="360"/>
      </w:pPr>
      <w:r>
        <w:rPr/>
      </w:r>
      <w:r>
        <w:rPr/>
      </w:r>
      <w:r>
        <w:t xml:space="preserve">As a prerequisite to maintaining a license, licensees must complete a continuing education requirement every 2 years in programs or courses approved by the superintendent.  The superintendent may establish by rule the amount of continuing education credit hours, not to exceed 30 hours, required under this section.  Rules adopted pursuant to this section are routine technical rules pursuant to </w:t>
      </w:r>
      <w:r>
        <w:t>Title 5, chapter 375, subchapter 2‑A</w:t>
      </w:r>
      <w:r>
        <w:t xml:space="preserve">.  The superintendent may, for good cause shown, grant an extension of time to any person to allow that person to comply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§45 (AMD). PL 2005, c. 43,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§1482. Educational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Educational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§1482. EDUCATIONAL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