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Acts of MGA considered acts of insurer; examination authority</w:t>
      </w:r>
    </w:p>
    <w:p>
      <w:pPr>
        <w:jc w:val="both"/>
        <w:spacing w:before="100" w:after="100"/>
        <w:ind w:start="360"/>
        <w:ind w:firstLine="360"/>
      </w:pPr>
      <w:r>
        <w:rPr/>
      </w:r>
      <w:r>
        <w:rPr/>
      </w:r>
      <w:r>
        <w:t xml:space="preserve">The acts of the MGA are deemed to be the acts of the insurer on whose behalf it is acting.  An MGA may be examined as if it were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 Acts of MGA considered acts of insurer;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Acts of MGA considered acts of insurer;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§1496. ACTS OF MGA CONSIDERED ACTS OF INSURER;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