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213</w:t>
        <w:t xml:space="preserve">.  </w:t>
      </w:r>
      <w:r>
        <w:rPr>
          <w:b/>
        </w:rPr>
        <w:t xml:space="preserve">Orders, notices in general</w:t>
      </w:r>
    </w:p>
    <w:p>
      <w:pPr>
        <w:jc w:val="both"/>
        <w:spacing w:before="100" w:after="0"/>
        <w:ind w:start="360"/>
        <w:ind w:firstLine="360"/>
      </w:pPr>
      <w:r>
        <w:rPr>
          <w:b/>
        </w:rPr>
        <w:t>1</w:t>
        <w:t xml:space="preserve">.  </w:t>
      </w:r>
      <w:r>
        <w:rPr>
          <w:b/>
        </w:rPr>
      </w:r>
      <w:r>
        <w:t xml:space="preserve"> </w:t>
      </w:r>
      <w:r>
        <w:t xml:space="preserve">Orders and notices of the superintendent are effective only when in writing signed by the superintendent or by the superintendent's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§157 (COR).]</w:t>
      </w:r>
    </w:p>
    <w:p>
      <w:pPr>
        <w:jc w:val="both"/>
        <w:spacing w:before="100" w:after="100"/>
        <w:ind w:start="360"/>
        <w:ind w:firstLine="360"/>
      </w:pPr>
      <w:r>
        <w:rPr>
          <w:b/>
        </w:rPr>
        <w:t>2</w:t>
        <w:t xml:space="preserve">.  </w:t>
      </w:r>
      <w:r>
        <w:rPr>
          <w:b/>
        </w:rPr>
      </w:r>
      <w:r>
        <w:t xml:space="preserve"> </w:t>
      </w:r>
      <w:r>
        <w:t xml:space="preserve">Every order of the superintendent shall state its effective date, and shall concisely state:</w:t>
      </w:r>
    </w:p>
    <w:p>
      <w:pPr>
        <w:jc w:val="both"/>
        <w:spacing w:before="100" w:after="0"/>
        <w:ind w:start="720"/>
      </w:pPr>
      <w:r>
        <w:rPr/>
        <w:t>A</w:t>
        <w:t xml:space="preserve">.  </w:t>
      </w:r>
      <w:r>
        <w:rPr/>
      </w:r>
      <w:r>
        <w:t xml:space="preserve">Its intent or purpose;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The grounds on which based; and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 xml:space="preserve">The provisions of this Title pursuant to which action is taken or proposed to be taken; but failure to so designate a particular provision shall not deprive the superintendent of the right to rely thereon.</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3</w:t>
        <w:t xml:space="preserve">.  </w:t>
      </w:r>
      <w:r>
        <w:rPr>
          <w:b/>
        </w:rPr>
      </w:r>
      <w:r>
        <w:t xml:space="preserve"> </w:t>
      </w:r>
      <w:r>
        <w:t xml:space="preserve">An order or notice may be given by delivery to the person to be ordered or notified, or by mailing it, postage prepaid, addressed to such person at the person's principal place of business or residence as last of record in the bureau. The order or notice is deemed to have been given when deposited in a mail depository of the United States post office, and of which the affidavit of the individual who so mailed the order or notice is prima facie evidence. Written notice of the party's rights to review or appeal and of the action required and of the time within which action must be taken in order to appeal must be given to each party with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§158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694, §387 (AMD). RR 2021, c. 1, Pt. B, §§157, 158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§213. Orders, notices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§213. Orders, notices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§213. ORDERS, NOTICES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