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2410</w:t>
        <w:t xml:space="preserve">.  </w:t>
      </w:r>
      <w:r>
        <w:rPr>
          <w:b/>
        </w:rPr>
        <w:t xml:space="preserve">Application; statements; as evidence</w:t>
      </w:r>
    </w:p>
    <w:p>
      <w:pPr>
        <w:jc w:val="both"/>
        <w:spacing w:before="100" w:after="0"/>
        <w:ind w:start="360"/>
        <w:ind w:firstLine="360"/>
      </w:pPr>
      <w:r>
        <w:rPr>
          <w:b/>
        </w:rPr>
        <w:t>1</w:t>
        <w:t xml:space="preserve">.  </w:t>
      </w:r>
      <w:r>
        <w:rPr>
          <w:b/>
        </w:rPr>
      </w:r>
      <w:r>
        <w:t xml:space="preserve"> </w:t>
      </w:r>
      <w:r>
        <w:t xml:space="preserve">The insured shall not be bound by any statement made in an application for an individual life or health insurance policy or annuity contract, and the application shall not be admissible in evidence in any action relative to such policy or contract, unless a true copy of the application was attached to or endorsed on the policy or contract when issued as a part thereof. This provision shall not apply to industrial life insurance policies or to group life or group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policy of life or health insurance delivered in this State is reinstated or renewed, and the insured or the beneficiary or assignee of the policy makes written request to the insurer for a copy of the application, if any, for such reinstatement or renewal, the insurer shall within 30 days after receipt of such request at its home office, or branch office, deliver or mail to the person making such request a copy of such application reproduced by any legible means. If such copy is not so delivered or mailed after having been so requested, the insurer shall be precluded from introducing the application in evidence in any action or proceeding based upon or involving the policy or its reinstatement or renewal. In the case of such a request from a beneficiary or assignee, the time within which the insurer is required to furnish a copy of such application shall not begin to run until after receipt of evidence satisfactory to the insurer of the beneficiary's or assignee's vested interest in the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to kinds of insurance other than individual life or health insurance, no application for insurance signed by or on behalf of the insured shall be admissible in evidence in any action between the insured and the insurer arising out of the policy so applied for, if the insurer has failed, at the expiration of 30 days after receipt by the insurer of written demand therefor by or on behalf of the insured, to furnish to the insured a copy of such application reproduced by any legible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§2410. Application; statements;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§2410. Application; statements;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§2410. APPLICATION; STATEMENTS;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