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2546</w:t>
        <w:t xml:space="preserve">.  </w:t>
      </w:r>
      <w:r>
        <w:rPr>
          <w:b/>
        </w:rPr>
        <w:t xml:space="preserve">Calculation of cash surrender values</w:t>
      </w:r>
    </w:p>
    <w:p>
      <w:pPr>
        <w:jc w:val="both"/>
        <w:spacing w:before="100" w:after="100"/>
        <w:ind w:start="360"/>
        <w:ind w:firstLine="360"/>
      </w:pPr>
      <w:r>
        <w:rPr/>
      </w:r>
      <w:r>
        <w:rPr/>
      </w:r>
      <w:r>
        <w:t xml:space="preserve">For contracts that provide cash surrender benefits, the cash surrender benefits available prior to maturity may not be less than the present value as of the date of surrender of that portion of the maturity value of the paid-up annuity benefit that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1% higher than the interest rate specified in the contract for accumulating the net considerations to determine the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the contracts must be at least equal to the cash surrender benefit.</w:t>
      </w:r>
      <w:r>
        <w:t xml:space="preserve">  </w:t>
      </w:r>
      <w:r xmlns:wp="http://schemas.openxmlformats.org/drawingml/2010/wordprocessingDrawing" xmlns:w15="http://schemas.microsoft.com/office/word/2012/wordml">
        <w:rPr>
          <w:rFonts w:ascii="Arial" w:hAnsi="Arial" w:cs="Arial"/>
          <w:sz w:val="22"/>
          <w:szCs w:val="22"/>
        </w:rPr>
        <w:t xml:space="preserve">[PL 2017, c. 475,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2017, c. 475,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§2546. Calculation of cash surrender values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§2546. Calculation of cash surrender values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§2546. CALCULATION OF CASH SURRENDER VALUES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