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There may be a provision for coordination of benefits payable under the policy and under other plans of insurance or health care coverage, in conformance with rules adopted by the superintendent to establish uniformity in the permissive use of coordination of benefits provisions in order to avoid claim delays and misunderstandings that otherwise result from the use of inconsistent or incompatible provisions among the several insurers and nonprofit hospital or medical service organization plans and nonprofit health care organization plans.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N, §1 (NEW).]</w:t>
      </w:r>
    </w:p>
    <w:p>
      <w:pPr>
        <w:jc w:val="both"/>
        <w:spacing w:before="100" w:after="100"/>
        <w:ind w:start="360"/>
        <w:ind w:firstLine="360"/>
      </w:pPr>
      <w:r>
        <w:rPr>
          <w:b/>
        </w:rPr>
        <w:t>2</w:t>
        <w:t xml:space="preserve">.  </w:t>
      </w:r>
      <w:r>
        <w:rPr>
          <w:b/>
        </w:rPr>
        <w:t xml:space="preserve">Coordination with Medicare.</w:t>
        <w:t xml:space="preserve"> </w:t>
      </w:r>
      <w:r>
        <w:t xml:space="preserve"> </w:t>
      </w:r>
      <w:r>
        <w:t xml:space="preserve">Coordination of benefits with Medicare is governed by the following provisions.</w:t>
      </w:r>
    </w:p>
    <w:p>
      <w:pPr>
        <w:jc w:val="both"/>
        <w:spacing w:before="100" w:after="0"/>
        <w:ind w:start="720"/>
      </w:pPr>
      <w:r>
        <w:rPr/>
        <w:t>A</w:t>
        <w:t xml:space="preserve">.  </w:t>
      </w:r>
      <w:r>
        <w:rPr/>
      </w:r>
      <w:r>
        <w:t xml:space="preserve">The policy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policy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w:pPr>
        <w:jc w:val="both"/>
        <w:spacing w:before="100" w:after="0"/>
        <w:ind w:start="720"/>
      </w:pPr>
      <w:r>
        <w:rPr/>
        <w:t>B</w:t>
        <w:t xml:space="preserve">.  </w:t>
      </w:r>
      <w:r>
        <w:rPr/>
      </w:r>
      <w:r>
        <w:t xml:space="preserve">The policy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policy was issued and, if applicable, when the insured becomes eligible for Medicare due to age.  The content of the notification must be approved by the bureau.  The notification must state that the policy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§2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§2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§N1 (NEW). PL 1999, c. 790, §D7 (AMD). PL 2005, c. 121, §D2 (AMD). PL 2023,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§2723-A.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§2723-A.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§2723-A.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