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2860-A</w:t>
        <w:t xml:space="preserve">.  </w:t>
      </w:r>
      <w:r>
        <w:rPr>
          <w:b/>
        </w:rPr>
        <w:t xml:space="preserve">Commissions</w:t>
      </w:r>
    </w:p>
    <w:p>
      <w:pPr>
        <w:jc w:val="both"/>
        <w:spacing w:before="100" w:after="100"/>
        <w:ind w:start="360"/>
        <w:ind w:firstLine="360"/>
      </w:pPr>
      <w:r>
        <w:rPr/>
      </w:r>
      <w:r>
        <w:rPr/>
      </w:r>
      <w:r>
        <w:t xml:space="preserve">A commission not exceeding 5% of credit life and health insurance premiums, as set forth by rules adopted by the superintendent, may be paid to any creditor who is a licensed credit insurance agent.  This section does not prohibit fees paid to a lender for handling or processing credit life or health insurance not exceeding 10% of prima facie premiums as set forth by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645,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208, §3 (NEW). PL 1993, c. 645,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§2860-A.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§2860-A.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§2860-A.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