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Contracts subject to general provisions</w:t>
      </w:r>
    </w:p>
    <w:p>
      <w:pPr>
        <w:jc w:val="both"/>
        <w:spacing w:before="100" w:after="100"/>
        <w:ind w:start="360"/>
        <w:ind w:firstLine="360"/>
      </w:pPr>
      <w:r>
        <w:rPr/>
      </w:r>
      <w:r>
        <w:rPr/>
      </w:r>
      <w:r>
        <w:t xml:space="preserve">All contracts of casualty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