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Hearing before superintendent</w:t>
      </w:r>
    </w:p>
    <w:p>
      <w:pPr>
        <w:jc w:val="both"/>
        <w:spacing w:before="100" w:after="100"/>
        <w:ind w:start="360"/>
        <w:ind w:firstLine="360"/>
      </w:pPr>
      <w:r>
        <w:rPr/>
      </w:r>
      <w:r>
        <w:rPr/>
      </w:r>
      <w:r>
        <w:t xml:space="preserve">Any named insured who has received a statement of reason for cancellation, or of reason for an insurer's intent not to renew a policy, may, within 30 days of the receipt of a statement of reason, request a hearing before the Superintendent of Insurance. The purpose of this hearing shall be limited to establishing the existence of the proof or evidence given by the insurer in its reason for cancellation or intent not to renew. The burden of proof of the reason for cancellation or intent not to renew shall be upon the insurer. The superintendent shall have the authority to order that a policy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 Acting in conformity with the Maine Administrative Procedure Act, </w:t>
      </w:r>
      <w:r>
        <w:t>Title 5, chapter 375, subchapter II</w:t>
      </w:r>
      <w:r>
        <w:t xml:space="preserve">, the superintendent may adopt rules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1989, c. 172,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§5 (AMD). PL 1977, c. 694, §426 (AMD). PL 1979, c. 336, §2 (AMD). PL 1979, c. 347, §7 (AMD). PL 1989, c. 172,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§2920. Hearing before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Hearing before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§2920. HEARING BEFORE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