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§3061. Uniform policy standards concerning hurricane deductible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§3061. UNIFORM POLICY STANDARDS CONCERNING HURRICANE DEDUCTIBLE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