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3623</w:t>
        <w:t xml:space="preserve">.  </w:t>
      </w:r>
      <w:r>
        <w:rPr>
          <w:b/>
        </w:rPr>
        <w:t xml:space="preserve">Limit of risk</w:t>
      </w:r>
    </w:p>
    <w:p>
      <w:pPr>
        <w:jc w:val="both"/>
        <w:spacing w:before="100" w:after="0"/>
        <w:ind w:start="360"/>
        <w:ind w:firstLine="360"/>
      </w:pPr>
      <w:r>
        <w:rPr>
          <w:b/>
        </w:rPr>
        <w:t>1</w:t>
        <w:t xml:space="preserve">.  </w:t>
      </w:r>
      <w:r>
        <w:rPr>
          <w:b/>
        </w:rPr>
      </w:r>
      <w:r>
        <w:t xml:space="preserve"> </w:t>
      </w:r>
      <w:r>
        <w:t xml:space="preserve">Except as provided in </w:t>
      </w:r>
      <w:r>
        <w:t>section 3607, subsection 1</w:t>
      </w:r>
      <w:r>
        <w:t xml:space="preserve">, an insurer shall not retain liability as to any one risk in an amount exceeding 10% of its surplus and in addition 8% of the amount at any time due on its premium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124 (AMD).]</w:t>
      </w:r>
    </w:p>
    <w:p>
      <w:pPr>
        <w:jc w:val="both"/>
        <w:spacing w:before="100" w:after="0"/>
        <w:ind w:start="360"/>
        <w:ind w:firstLine="360"/>
      </w:pPr>
      <w:r>
        <w:rPr>
          <w:b/>
        </w:rPr>
        <w:t>2</w:t>
        <w:t xml:space="preserve">.  </w:t>
      </w:r>
      <w:r>
        <w:rPr>
          <w:b/>
        </w:rPr>
      </w:r>
      <w:r>
        <w:t xml:space="preserve"> </w:t>
      </w:r>
      <w:r>
        <w:t xml:space="preserve">Valid reinsurance ceded by the insurer and then in force shall be deducted from the gross risk assumed in determining net risk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124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§3623. Limit of risk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§3623. Limit of risk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§3623. LIMIT OF RISK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