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"Charter" defined</w:t>
      </w:r>
    </w:p>
    <w:p>
      <w:pPr>
        <w:jc w:val="both"/>
        <w:spacing w:before="100" w:after="100"/>
        <w:ind w:start="360"/>
        <w:ind w:firstLine="360"/>
      </w:pPr>
      <w:r>
        <w:rPr/>
      </w:r>
      <w:r>
        <w:rPr/>
      </w:r>
      <w:r>
        <w:t xml:space="preserve">Except where context requires otherwise, "charter" means certificate of organization, certificate of incorporation, articles of incorporation, articles of agreement, articles of association, corporate charter granted by legislative act, or other basic constituent document of a corporation, or of a Lloyd's insurer, or the power of attorney of the attorney-in-fact of a reciprocal insurer.</w:t>
      </w:r>
      <w:r>
        <w:t xml:space="preserve">  </w:t>
      </w:r>
      <w:r xmlns:wp="http://schemas.openxmlformats.org/drawingml/2010/wordprocessingDrawing" xmlns:w15="http://schemas.microsoft.com/office/word/2012/wordml">
        <w:rPr>
          <w:rFonts w:ascii="Arial" w:hAnsi="Arial" w:cs="Arial"/>
          <w:sz w:val="22"/>
          <w:szCs w:val="22"/>
        </w:rPr>
        <w:t xml:space="preserve">[PL 1969, c. 177,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"Charter"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"Charter"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§403. "CHARTER"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