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General eligibility for certificate of authority</w:t>
      </w:r>
    </w:p>
    <w:p>
      <w:pPr>
        <w:jc w:val="both"/>
        <w:spacing w:before="100" w:after="100"/>
        <w:ind w:start="360"/>
        <w:ind w:firstLine="360"/>
      </w:pPr>
      <w:r>
        <w:rPr/>
      </w:r>
      <w:r>
        <w:rPr/>
      </w:r>
      <w:r>
        <w:t xml:space="preserve">To qualify for and hold authority to transact insurance in this State, an insurer must be otherwise in compliance with this Title and with its charter powers, and must be an incorporated stock or mutual insurer, or a reciprocal or Lloyd's insurer; of the same general type as may be formed as a domestic insurer under this Title; except that: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No foreign insurer shall be authorized to transact insurance in this State unless as to insurance written in this State it maintains reserve as required by </w:t>
      </w:r>
      <w:r>
        <w:t>chapter 11</w:t>
      </w:r>
      <w:r>
        <w:t xml:space="preserve"> (assets and liabilities); or which, if other than a property or casualty insurer, transacts business anywhere in the United States on the assessment plan, or stipulated premium plan, or any similar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 insurer shall be authorized to transact a kind of insurance in this State unless duly authorized or qualified to transact such insurance in the state or country of its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insurer shall be authorized to transact in this State any kind of insurance which is not within the definitions as set forth in </w:t>
      </w:r>
      <w:r>
        <w:t>chapter 9</w:t>
      </w:r>
      <w:r>
        <w:t xml:space="preserve"> (kinds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 such authority shall be granted or continued as to any insurer while in arrears to the State for fees, licenses, taxes, assessments, fines or penalties accrued on business previously transacted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A Lloyd's insurer shall be treated as a stock insurer for the purposes of this Title, with net assets over all liabilities to be not less than the capital funds required of a foreign stock insurer transacting the same kinds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 General eligibility for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General eligibility for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§406. GENERAL ELIGIBILITY FOR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