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4234-F</w:t>
        <w:t xml:space="preserve">.  </w:t>
      </w:r>
      <w:r>
        <w:rPr>
          <w:b/>
        </w:rPr>
        <w:t xml:space="preserve">Maternity and postpartum care</w:t>
      </w:r>
    </w:p>
    <w:p>
      <w:pPr>
        <w:jc w:val="both"/>
        <w:spacing w:before="100" w:after="100"/>
        <w:ind w:start="360"/>
        <w:ind w:firstLine="360"/>
      </w:pPr>
      <w:r>
        <w:rPr/>
      </w:r>
      <w:r>
        <w:rPr/>
      </w:r>
      <w:r>
        <w:t xml:space="preserve">A health maintenance organization that issues individual and group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§4234-F. Maternity and postpartum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§4234-F. Maternity and postpartum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§4234-F. MATERNITY AND POSTPARTUM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