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4240</w:t>
        <w:t xml:space="preserve">.  </w:t>
      </w:r>
      <w:r>
        <w:rPr>
          <w:b/>
        </w:rPr>
        <w:t xml:space="preserve">Coverage for diabetes supplies</w:t>
      </w:r>
    </w:p>
    <w:p>
      <w:pPr>
        <w:jc w:val="both"/>
        <w:spacing w:before="100" w:after="100"/>
        <w:ind w:start="360"/>
        <w:ind w:firstLine="360"/>
      </w:pPr>
      <w:r>
        <w:rPr/>
      </w:r>
      <w:r>
        <w:rPr/>
      </w:r>
      <w:r>
        <w:t xml:space="preserve">All health maintenance organization individual and group health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§10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enrollee's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§4 (NEW).]</w:t>
      </w:r>
    </w:p>
    <w:p>
      <w:pPr>
        <w:jc w:val="both"/>
        <w:spacing w:before="100" w:after="100"/>
        <w:ind w:start="360"/>
        <w:ind w:firstLine="360"/>
      </w:pPr>
      <w:r>
        <w:rPr/>
      </w:r>
      <w:r>
        <w:rPr/>
      </w:r>
      <w:r>
        <w:t xml:space="preserve">The requirements of this section apply to all group policies, contracts and certificates executed, delivered, issued for delivery, continued or renewed in this State.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2003, c. 517, Pt. A, §10 (NEW); PL 2003, c. 517, Pt. A, §13 (AFF).]</w:t>
      </w:r>
    </w:p>
    <w:p>
      <w:pPr>
        <w:jc w:val="both"/>
        <w:spacing w:before="100" w:after="100"/>
        <w:ind w:start="360"/>
      </w:pPr>
      <w:r>
        <w:rPr>
          <w:b w:val="true"/>
          <w:i/>
          <w:caps w:val="true"/>
        </w:rPr>
        <w:t xml:space="preserve">Revisor's Note: </w:t>
      </w:r>
      <w:r>
        <w:t>§4240.  Coverage for Pap tests (As enacted by PL 1995, c. 617, §5 is REALLOCATED TO TITLE 24-A, SECTION 4242)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§53 (RAL). PL 1995, c. 592, §4 (NEW). PL 1995, c. 617, §5 (NEW). PL 1995, c. 617, §6 (AFF). PL 2003, c. 517, §A10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§4240. Coverage for diabetes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§4240. COVERAGE FOR DIABETES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