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4249</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§37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policies or contracts issued by any health maintenance organization operating pursuant to this chapter must make available to an individual or group policyholder the option for additional benefits for the domestic partner of an enrollee or member, at appropriate rates and under the same terms and conditions as those benefits or options for benefits are provided to spouses of married enrollees or members covered under a health maintenance organization individual or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enrollee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health maintenance organization or group policyholder may require an enrollee or member and the enrollee's or member's domestic partner to sign an affidavit attesting that the enrollee or member and enrollee's or member's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§38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an enrollee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health maintenance organization may terminate coverage in accordance with other applicable provisions of this Title for the domestic partner of an enrollee or member upon notification by the enrollee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§39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health maintenance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100"/>
        <w:ind w:start="360"/>
      </w:pPr>
      <w:r>
        <w:rPr>
          <w:b w:val="true"/>
          <w:i/>
          <w:caps w:val="true"/>
        </w:rPr>
        <w:t xml:space="preserve">Revisor's Note: </w:t>
      </w:r>
      <w:r>
        <w:t>§4249.  Coverage for general anesthesia for dentistry (As enacted by PL 2001, c. 423, §4 and affected by §5 is REALLOCATED TO TITLE 24-A, SECTION 4251)
</w:t>
      </w:r>
    </w:p>
    <w:p>
      <w:pPr>
        <w:jc w:val="both"/>
        <w:spacing w:before="100" w:after="100"/>
        <w:ind w:start="360"/>
      </w:pPr>
      <w:r>
        <w:rPr>
          <w:b w:val="true"/>
          <w:i/>
          <w:caps w:val="true"/>
        </w:rPr>
        <w:t xml:space="preserve">Revisor's Note: </w:t>
      </w:r>
      <w:r>
        <w:t>§4249.  Coverage for hospice care services (As enacted by PL 2001, c. 358, Pt. LL, §4 and affected by §5 is REALLOCATED TO TITLE 24-A, SECTION 4250)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 PL 2001, c. 358, §LL4 (NEW). PL 2001, c. 358, §LL5 (AFF). PL 2001, c. 423, §4 (NEW). PL 2001, c. 423, §5 (AFF). RR 2001, c. 1, §§36,37 (RAL). PL 2021, c. 567, §§37-39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§4249.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§4249.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§4249.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