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§4387. QUALIFIED FINANCIAL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