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6401</w:t>
        <w:t xml:space="preserve">.  </w:t>
      </w:r>
      <w:r>
        <w:rPr>
          <w:b/>
        </w:rPr>
        <w:t xml:space="preserve">Short title</w:t>
      </w:r>
    </w:p>
    <w:p>
      <w:pPr>
        <w:jc w:val="both"/>
        <w:spacing w:before="100" w:after="100"/>
        <w:ind w:start="360"/>
        <w:ind w:firstLine="360"/>
      </w:pPr>
      <w:r>
        <w:rPr/>
      </w:r>
      <w:r>
        <w:rPr/>
      </w:r>
      <w:r>
        <w:t xml:space="preserve">This chapter may be known and cited as the "Maine Business Transacted with Producer-controlled Insurer Act."</w:t>
      </w:r>
      <w:r>
        <w:t xml:space="preserve">  </w:t>
      </w:r>
      <w:r xmlns:wp="http://schemas.openxmlformats.org/drawingml/2010/wordprocessingDrawing" xmlns:w15="http://schemas.microsoft.com/office/word/2012/wordml">
        <w:rPr>
          <w:rFonts w:ascii="Arial" w:hAnsi="Arial" w:cs="Arial"/>
          <w:sz w:val="22"/>
          <w:szCs w:val="22"/>
        </w:rPr>
        <w:t xml:space="preserve">[PL 2017, c. 169, Pt. E, §1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828, §33 (NEW). PL 2017, c. 169, Pt. E, §1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§6401. Short title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§6401. Short title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§6401. SHORT TITLE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