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6461</w:t>
        <w:t xml:space="preserve">.  </w:t>
      </w:r>
      <w:r>
        <w:rPr>
          <w:b/>
        </w:rPr>
        <w:t xml:space="preserve">Notices</w:t>
      </w:r>
    </w:p>
    <w:p>
      <w:pPr>
        <w:jc w:val="both"/>
        <w:spacing w:before="100" w:after="100"/>
        <w:ind w:start="360"/>
        <w:ind w:firstLine="360"/>
      </w:pPr>
      <w:r>
        <w:rPr/>
      </w:r>
      <w:r>
        <w:rPr/>
      </w:r>
      <w:r>
        <w:t xml:space="preserve">A notice by the superintendent to an insurer that may result in regulatory action under this chapter is effective upon dispatch if transmitted by registered or certified mail or, in the case of any other transmission, is effective upon the insurer's receipt of the notice.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§A1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§6461. Notices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§6461. Notices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§6461. NOTICES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