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Books and records; reinsurance intermediary-brokers</w:t>
      </w:r>
    </w:p>
    <w:p>
      <w:pPr>
        <w:jc w:val="both"/>
        <w:spacing w:before="100" w:after="100"/>
        <w:ind w:start="360"/>
        <w:ind w:firstLine="360"/>
      </w:pPr>
      <w:r>
        <w:rPr>
          <w:b/>
        </w:rPr>
        <w:t>1</w:t>
        <w:t xml:space="preserve">.  </w:t>
      </w:r>
      <w:r>
        <w:rPr>
          <w:b/>
        </w:rPr>
        <w:t xml:space="preserve">Records required.</w:t>
        <w:t xml:space="preserve"> </w:t>
      </w:r>
      <w:r>
        <w:t xml:space="preserve"> </w:t>
      </w:r>
      <w:r>
        <w:t xml:space="preserve">For at least 10 years after expiration of each contract of reinsurance transacted by the reinsurance intermediary-broker, the reinsurance intermediary-broker shall keep a complete record for each transaction showing:</w:t>
      </w:r>
    </w:p>
    <w:p>
      <w:pPr>
        <w:jc w:val="both"/>
        <w:spacing w:before="100" w:after="0"/>
        <w:ind w:start="720"/>
      </w:pPr>
      <w:r>
        <w:rPr/>
        <w:t>A</w:t>
        <w:t xml:space="preserve">.  </w:t>
      </w:r>
      <w:r>
        <w:rPr/>
      </w:r>
      <w:r>
        <w:t xml:space="preserve">The type of contract, limits, underwriting restrictions, classes of risks and territory;</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Period of coverage, including effective and expiration dates, cancellation provisions and notice required of cancellation;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Reporting and settlement requirements of balances;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Rate used to compute the reinsurance premium;</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E</w:t>
        <w:t xml:space="preserve">.  </w:t>
      </w:r>
      <w:r>
        <w:rPr/>
      </w:r>
      <w:r>
        <w:t xml:space="preserve">Names and addresses of assuming reinsurers;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F</w:t>
        <w:t xml:space="preserve">.  </w:t>
      </w:r>
      <w:r>
        <w:rPr/>
      </w:r>
      <w:r>
        <w:t xml:space="preserve">Rates of all reinsurance commissions, including the commissions on any retrocessions handled by the reinsurance intermediary-broker;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G</w:t>
        <w:t xml:space="preserve">.  </w:t>
      </w:r>
      <w:r>
        <w:rPr/>
      </w:r>
      <w:r>
        <w:t xml:space="preserve">Related correspondence and memoranda;</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H</w:t>
        <w:t xml:space="preserve">.  </w:t>
      </w:r>
      <w:r>
        <w:rPr/>
      </w:r>
      <w:r>
        <w:t xml:space="preserve">Proof of placement;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I</w:t>
        <w:t xml:space="preserve">.  </w:t>
      </w:r>
      <w:r>
        <w:rPr/>
      </w:r>
      <w:r>
        <w:t xml:space="preserve">Details regarding retrocessions handled by the reinsurance intermediary-broker, including the identity of retrocessionaires and percentage of each contract assumed or ceded;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J</w:t>
        <w:t xml:space="preserve">.  </w:t>
      </w:r>
      <w:r>
        <w:rPr/>
      </w:r>
      <w:r>
        <w:t xml:space="preserve">Financial records, including, but not limited to, premium and loss accounts;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K</w:t>
        <w:t xml:space="preserve">.  </w:t>
      </w:r>
      <w:r>
        <w:rPr/>
      </w:r>
      <w:r>
        <w:t xml:space="preserve">When the reinsurance intermediary-broker procures a reinsurance contract on behalf of a licensed ceding insurer:</w:t>
      </w:r>
    </w:p>
    <w:p>
      <w:pPr>
        <w:jc w:val="both"/>
        <w:spacing w:before="100" w:after="0"/>
        <w:ind w:start="1080"/>
      </w:pPr>
      <w:r>
        <w:rPr/>
        <w:t>(</w:t>
        <w:t>1</w:t>
        <w:t xml:space="preserve">)  </w:t>
      </w:r>
      <w:r>
        <w:rPr/>
      </w:r>
      <w:r>
        <w:t xml:space="preserve">Directly from any assuming reinsurer, written evidence that the assuming reinsurer has agreed to assume the risk; or</w:t>
      </w:r>
    </w:p>
    <w:p>
      <w:pPr>
        <w:jc w:val="both"/>
        <w:spacing w:before="100" w:after="0"/>
        <w:ind w:start="1080"/>
      </w:pPr>
      <w:r>
        <w:rPr/>
        <w:t>(</w:t>
        <w:t>2</w:t>
        <w:t xml:space="preserve">)  </w:t>
      </w:r>
      <w:r>
        <w:rPr/>
      </w:r>
      <w:r>
        <w:t xml:space="preserve">Placed through a representative of the assuming reinsurer that is not an employee, written evidence that the reinsurer has delegated binding authority to the representative.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Access.</w:t>
        <w:t xml:space="preserve"> </w:t>
      </w:r>
      <w:r>
        <w:t xml:space="preserve"> </w:t>
      </w:r>
      <w:r>
        <w:t xml:space="preserve">The insurer must have access and may copy and audit all accounts and records maintained by the reinsurance intermediary-broker related to its business in a form usable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 Books and records; reinsurance intermediary-brokers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Books and records; reinsurance intermediary-brokers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§745. BOOKS AND RECORDS; REINSURANCE INTERMEDIARY-BROKERS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