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NONPROFIT HOSPITAL OR MEDICAL SERVICE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1971, c. 444, §2 (RPR); 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§6 (AMD); 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Children's Health Insurance Program.</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"Children's Health Insurance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Children's Health Insurance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Children's Health Insurance Program has paid for covered items or services, the nonprofit service organization shall make payment to the Medicaid program or the Children's Health Insurance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Children's Health Insurance Program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597,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§16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PL 2023, c. 597, §16 (AMD). </w:t>
      </w:r>
    </w:p>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PL 2023, c. 521, §1 (AMD). </w:t>
      </w:r>
    </w:p>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jc w:val="center"/>
        <w:ind w:start="360"/>
        <w:spacing w:before="300" w:after="300"/>
      </w:pPr>
      <w:r>
        <w:rPr>
          <w:b/>
        </w:rPr>
        <w:t>SUBCHAPTER</w:t>
        <w:t xml:space="preserve"> </w:t>
        <w:t>2</w:t>
      </w:r>
    </w:p>
    <w:p>
      <w:pPr>
        <w:jc w:val="center"/>
        <w:ind w:start="360"/>
        <w:spacing w:before="300" w:after="300"/>
      </w:pPr>
      <w:r>
        <w:rPr>
          <w:b/>
        </w:rPr>
        <w:t xml:space="preserve">NONPROFIT SERVICE ORGANIZATIONS PREFERRED PROVIDER ARRANGEMENT ACT OF 1986</w:t>
      </w:r>
    </w:p>
    <w:p>
      <w:pPr>
        <w:jc w:val="center"/>
        <w:ind w:start="360"/>
        <w:spacing w:before="300" w:after="300"/>
      </w:pPr>
      <w:r>
        <w:rPr>
          <w:b/>
        </w:rPr>
        <w:t>(REPEALED)</w:t>
      </w:r>
    </w:p>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jc w:val="center"/>
        <w:ind w:start="360"/>
        <w:spacing w:before="300" w:after="300"/>
      </w:pPr>
      <w:r>
        <w:rPr>
          <w:b/>
        </w:rPr>
        <w:t>SUBCHAPTER</w:t>
        <w:t xml:space="preserve"> </w:t>
        <w:t>2-A</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jc w:val="center"/>
        <w:ind w:start="360"/>
        <w:spacing w:before="300" w:after="300"/>
      </w:pPr>
      <w:r>
        <w:rPr>
          <w:b/>
        </w:rPr>
        <w:t>SUBCHAPTER</w:t>
        <w:t xml:space="preserve"> </w:t>
        <w:t>2-B</w:t>
      </w:r>
    </w:p>
    <w:p>
      <w:pPr>
        <w:jc w:val="center"/>
        <w:ind w:start="360"/>
        <w:spacing w:before="300" w:after="300"/>
      </w:pPr>
      <w:r>
        <w:rPr>
          <w:b/>
        </w:rPr>
        <w:t xml:space="preserve">COMMUNITY OF HEALTH INSURANCE COVERAGE</w:t>
      </w:r>
    </w:p>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jc w:val="center"/>
        <w:ind w:start="360"/>
        <w:spacing w:before="300" w:after="300"/>
      </w:pPr>
      <w:r>
        <w:rPr>
          <w:b/>
        </w:rPr>
        <w:t>SUBCHAPTER</w:t>
        <w:t xml:space="preserve"> </w:t>
        <w:t>3</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center"/>
        <w:ind w:start="360"/>
        <w:spacing w:before="300" w:after="300"/>
      </w:pPr>
      <w:r>
        <w:rPr>
          <w:b/>
        </w:rPr>
        <w:t>SUBCHAPTER</w:t>
        <w:t xml:space="preserve"> </w:t>
        <w:t>4</w:t>
      </w:r>
    </w:p>
    <w:p>
      <w:pPr>
        <w:jc w:val="center"/>
        <w:ind w:start="360"/>
        <w:spacing w:before="300" w:after="300"/>
      </w:pPr>
      <w:r>
        <w:rPr>
          <w:b/>
        </w:rPr>
        <w:t xml:space="preserve">NOTIFICATION</w:t>
      </w:r>
    </w:p>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NONPROFIT HOSPITAL OR MEDICAL SERVICE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NONPROFIT HOSPITAL OR MEDICAL SERVICE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19. NONPROFIT HOSPITAL OR MEDICAL SERVICE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