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w:t>
      </w:r>
    </w:p>
    <w:p>
      <w:pPr>
        <w:jc w:val="center"/>
        <w:ind w:start="360"/>
        <w:spacing w:before="300" w:after="300"/>
      </w:pPr>
      <w:r>
        <w:rPr>
          <w:b/>
        </w:rPr>
        <w:t xml:space="preserve">STATE POLICE RETIREMENT SYSTEM</w:t>
      </w:r>
    </w:p>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§45 (COR). </w:t>
      </w:r>
    </w:p>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195. STATE POLICE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 STATE POLICE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195. STATE POLICE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