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1512</w:t>
        <w:t xml:space="preserve">.  </w:t>
      </w:r>
      <w:r>
        <w:rPr>
          <w:b/>
        </w:rPr>
        <w:t xml:space="preserve">Missing persons list</w:t>
      </w:r>
    </w:p>
    <w:p>
      <w:pPr>
        <w:jc w:val="both"/>
        <w:spacing w:before="100" w:after="100"/>
        <w:ind w:start="360"/>
        <w:ind w:firstLine="360"/>
      </w:pPr>
      <w:r>
        <w:rPr/>
      </w:r>
      <w:r>
        <w:rPr/>
      </w:r>
      <w:r>
        <w:t xml:space="preserve">In cooperation with appropriate law enforcement agencies, the Bureau of State Police shall establish by December 31, 2026 and maintain a publicly accessible website that lists all open missing persons cases in the State. The website must contain details regarding each missing person in the State that include, but are not limited to, the missing person's demographics, photograph, circumstances of disappearance and last known location and any additional information that may help in locating or identifying the missing person. The website must be updated, at a minimum, once every month to include any new missing person's information as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2025, c. 447,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§1512. Missing persons list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§1512. Missing persons list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§1512. MISSING PERSONS LIST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