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Report regarding operating under the influence offenses</w:t>
      </w:r>
    </w:p>
    <w:p>
      <w:pPr>
        <w:jc w:val="both"/>
        <w:spacing w:before="100" w:after="100"/>
        <w:ind w:start="360"/>
        <w:ind w:firstLine="360"/>
      </w:pPr>
      <w:r>
        <w:rPr/>
      </w:r>
      <w:r>
        <w:rPr/>
      </w:r>
      <w:r>
        <w:t xml:space="preserve">By April 1, 2020, and annually thereafter, the State Bureau of Identification shall report to the joint standing committee of the Legislature having jurisdiction over criminal justice matters regarding the incidence of operating under the influence offenses pursuant to </w:t>
      </w:r>
      <w:r>
        <w:t>Title 29‑A, section 2411</w:t>
      </w:r>
      <w:r>
        <w:t xml:space="preserve">.  The report must include separate categories for offenses involving operating under the influence of alcohol, for offenses involving operating under the influence of intoxicating substances other than alcohol and for offenses involving operating under the influence of a combination of alcohol and other intoxicating substances.</w:t>
      </w:r>
      <w:r>
        <w:t xml:space="preserve">  </w:t>
      </w:r>
      <w:r xmlns:wp="http://schemas.openxmlformats.org/drawingml/2010/wordprocessingDrawing" xmlns:w15="http://schemas.microsoft.com/office/word/2012/wordml">
        <w:rPr>
          <w:rFonts w:ascii="Arial" w:hAnsi="Arial" w:cs="Arial"/>
          <w:sz w:val="22"/>
          <w:szCs w:val="22"/>
        </w:rPr>
        <w:t xml:space="preserve">[PL 2019,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Report regarding operating under the influence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§1551. REPORT REGARDING OPERATING UNDER THE INFLUENCE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