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2413</w:t>
        <w:t xml:space="preserve">.  </w:t>
      </w:r>
      <w:r>
        <w:rPr>
          <w:b/>
        </w:rPr>
        <w:t xml:space="preserve">Evidence</w:t>
      </w:r>
    </w:p>
    <w:p>
      <w:pPr>
        <w:jc w:val="both"/>
        <w:spacing w:before="100" w:after="0"/>
        <w:ind w:start="360"/>
        <w:ind w:firstLine="360"/>
      </w:pPr>
      <w:r>
        <w:rPr>
          <w:b/>
        </w:rPr>
        <w:t>1</w:t>
        <w:t xml:space="preserve">.  </w:t>
      </w:r>
      <w:r>
        <w:rPr>
          <w:b/>
        </w:rPr>
        <w:t xml:space="preserve">Confidentiality.</w:t>
        <w:t xml:space="preserve"> </w:t>
      </w:r>
      <w:r>
        <w:t xml:space="preserve"> </w:t>
      </w:r>
      <w:r>
        <w:t xml:space="preserve">Any authorized agency or insurance company which receives any information pursuant to this chapter shall hold it in confidence and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Testimony.</w:t>
        <w:t xml:space="preserve"> </w:t>
      </w:r>
      <w:r>
        <w:t xml:space="preserve"> </w:t>
      </w:r>
      <w:r>
        <w:t xml:space="preserve">Personnel of any authorized agency may be required to testify by subpoena in any litigation in which the insurance company at interest is named 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§2413.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§2413.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§2413.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