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§1221-B. TREATMENT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