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2041</w:t>
        <w:t xml:space="preserve">.  </w:t>
      </w:r>
      <w:r>
        <w:rPr>
          <w:b/>
        </w:rPr>
        <w:t xml:space="preserve">Targeted Workforce Investment Program</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Targeted Workforce Investment Program, referred to in this section as "the program," is established within the Department of Labor to provide training and other workforce development activities in support of industries or occupations for which there is an identified need in the state economy.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OOO, §1 (NEW).]</w:t>
      </w:r>
    </w:p>
    <w:p>
      <w:pPr>
        <w:jc w:val="both"/>
        <w:spacing w:before="100" w:after="100"/>
        <w:ind w:start="360"/>
        <w:ind w:firstLine="360"/>
      </w:pPr>
      <w:r>
        <w:rPr>
          <w:b/>
        </w:rPr>
        <w:t>2</w:t>
        <w:t xml:space="preserve">.  </w:t>
      </w:r>
      <w:r>
        <w:rPr>
          <w:b/>
        </w:rPr>
        <w:t xml:space="preserve">Administration.</w:t>
        <w:t xml:space="preserve"> </w:t>
      </w:r>
      <w:r>
        <w:t xml:space="preserve"> </w:t>
      </w:r>
      <w:r>
        <w:t xml:space="preserve">The Department of Labor shall administer the program and may expend funds in accordance with applicable funding agreements or as determined necessary by the commissioner.  To the extent that funds are available, the program may include:</w:t>
      </w:r>
    </w:p>
    <w:p>
      <w:pPr>
        <w:jc w:val="both"/>
        <w:spacing w:before="100" w:after="0"/>
        <w:ind w:start="720"/>
      </w:pPr>
      <w:r>
        <w:rPr/>
        <w:t>A</w:t>
        <w:t xml:space="preserve">.  </w:t>
      </w:r>
      <w:r>
        <w:rPr/>
      </w:r>
      <w:r>
        <w:t xml:space="preserve">Preapprenticeship training programs, career exploration programs and outreach efforts to build a career development network;</w:t>
      </w:r>
      <w:r>
        <w:t xml:space="preserve">  </w:t>
      </w:r>
      <w:r xmlns:wp="http://schemas.openxmlformats.org/drawingml/2010/wordprocessingDrawing" xmlns:w15="http://schemas.microsoft.com/office/word/2012/wordml">
        <w:rPr>
          <w:rFonts w:ascii="Arial" w:hAnsi="Arial" w:cs="Arial"/>
          <w:sz w:val="22"/>
          <w:szCs w:val="22"/>
        </w:rPr>
        <w:t xml:space="preserve">[PL 2025, c. 388, Pt. OOO, §1 (NEW).]</w:t>
      </w:r>
    </w:p>
    <w:p>
      <w:pPr>
        <w:jc w:val="both"/>
        <w:spacing w:before="100" w:after="0"/>
        <w:ind w:start="720"/>
      </w:pPr>
      <w:r>
        <w:rPr/>
        <w:t>B</w:t>
        <w:t xml:space="preserve">.  </w:t>
      </w:r>
      <w:r>
        <w:rPr/>
      </w:r>
      <w:r>
        <w:t xml:space="preserve">Training, education and career pathway programs to develop industry-aligned skills;</w:t>
      </w:r>
      <w:r>
        <w:t xml:space="preserve">  </w:t>
      </w:r>
      <w:r xmlns:wp="http://schemas.openxmlformats.org/drawingml/2010/wordprocessingDrawing" xmlns:w15="http://schemas.microsoft.com/office/word/2012/wordml">
        <w:rPr>
          <w:rFonts w:ascii="Arial" w:hAnsi="Arial" w:cs="Arial"/>
          <w:sz w:val="22"/>
          <w:szCs w:val="22"/>
        </w:rPr>
        <w:t xml:space="preserve">[PL 2025, c. 388, Pt. OOO, §1 (NEW).]</w:t>
      </w:r>
    </w:p>
    <w:p>
      <w:pPr>
        <w:jc w:val="both"/>
        <w:spacing w:before="100" w:after="0"/>
        <w:ind w:start="720"/>
      </w:pPr>
      <w:r>
        <w:rPr/>
        <w:t>C</w:t>
        <w:t xml:space="preserve">.  </w:t>
      </w:r>
      <w:r>
        <w:rPr/>
      </w:r>
      <w:r>
        <w:t xml:space="preserve">Wraparound services and case management services that are designed to connect individuals in this State, especially individuals from underrepresented communities, to in-demand jobs;</w:t>
      </w:r>
      <w:r>
        <w:t xml:space="preserve">  </w:t>
      </w:r>
      <w:r xmlns:wp="http://schemas.openxmlformats.org/drawingml/2010/wordprocessingDrawing" xmlns:w15="http://schemas.microsoft.com/office/word/2012/wordml">
        <w:rPr>
          <w:rFonts w:ascii="Arial" w:hAnsi="Arial" w:cs="Arial"/>
          <w:sz w:val="22"/>
          <w:szCs w:val="22"/>
        </w:rPr>
        <w:t xml:space="preserve">[PL 2025, c. 388, Pt. OOO, §1 (NEW).]</w:t>
      </w:r>
    </w:p>
    <w:p>
      <w:pPr>
        <w:jc w:val="both"/>
        <w:spacing w:before="100" w:after="0"/>
        <w:ind w:start="720"/>
      </w:pPr>
      <w:r>
        <w:rPr/>
        <w:t>D</w:t>
        <w:t xml:space="preserve">.  </w:t>
      </w:r>
      <w:r>
        <w:rPr/>
      </w:r>
      <w:r>
        <w:t xml:space="preserve">Investments in the Maine Apprenticeship Program established under </w:t>
      </w:r>
      <w:r>
        <w:t>section 3202</w:t>
      </w:r>
      <w:r>
        <w:t xml:space="preserve"> and other job skills development programs; and</w:t>
      </w:r>
      <w:r>
        <w:t xml:space="preserve">  </w:t>
      </w:r>
      <w:r xmlns:wp="http://schemas.openxmlformats.org/drawingml/2010/wordprocessingDrawing" xmlns:w15="http://schemas.microsoft.com/office/word/2012/wordml">
        <w:rPr>
          <w:rFonts w:ascii="Arial" w:hAnsi="Arial" w:cs="Arial"/>
          <w:sz w:val="22"/>
          <w:szCs w:val="22"/>
        </w:rPr>
        <w:t xml:space="preserve">[PL 2025, c. 388, Pt. OOO, §1 (NEW).]</w:t>
      </w:r>
    </w:p>
    <w:p>
      <w:pPr>
        <w:jc w:val="both"/>
        <w:spacing w:before="100" w:after="0"/>
        <w:ind w:start="720"/>
      </w:pPr>
      <w:r>
        <w:rPr/>
        <w:t>E</w:t>
        <w:t xml:space="preserve">.  </w:t>
      </w:r>
      <w:r>
        <w:rPr/>
      </w:r>
      <w:r>
        <w:t xml:space="preserve">Employer outreach and education to create sustained, quality job opportunities.</w:t>
      </w:r>
      <w:r>
        <w:t xml:space="preserve">  </w:t>
      </w:r>
      <w:r xmlns:wp="http://schemas.openxmlformats.org/drawingml/2010/wordprocessingDrawing" xmlns:w15="http://schemas.microsoft.com/office/word/2012/wordml">
        <w:rPr>
          <w:rFonts w:ascii="Arial" w:hAnsi="Arial" w:cs="Arial"/>
          <w:sz w:val="22"/>
          <w:szCs w:val="22"/>
        </w:rPr>
        <w:t xml:space="preserve">[PL 2025, c. 388, Pt. OOO,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OOO, §1 (NEW).]</w:t>
      </w:r>
    </w:p>
    <w:p>
      <w:pPr>
        <w:jc w:val="both"/>
        <w:spacing w:before="100" w:after="0"/>
        <w:ind w:start="360"/>
        <w:ind w:firstLine="360"/>
      </w:pPr>
      <w:r>
        <w:rPr>
          <w:b/>
        </w:rPr>
        <w:t>3</w:t>
        <w:t xml:space="preserve">.  </w:t>
      </w:r>
      <w:r>
        <w:rPr>
          <w:b/>
        </w:rPr>
        <w:t xml:space="preserve">Agency coordination.</w:t>
        <w:t xml:space="preserve"> </w:t>
      </w:r>
      <w:r>
        <w:t xml:space="preserve"> </w:t>
      </w:r>
      <w:r>
        <w:t xml:space="preserve">To better prepare the State's workforce for investments in the State, state and quasi-state agencies shall coordinate with the Department of Labor on workforce development initiatives that affect the agencies and their respective industries.  The agencies shall further consult with the Department of Labor when seeking funding opportunities that include workforce development as an allowable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OOO, §1 (NEW).]</w:t>
      </w:r>
    </w:p>
    <w:p>
      <w:pPr>
        <w:jc w:val="both"/>
        <w:spacing w:before="100" w:after="0"/>
        <w:ind w:start="360"/>
        <w:ind w:firstLine="360"/>
      </w:pPr>
      <w:r>
        <w:rPr>
          <w:b/>
        </w:rPr>
        <w:t>4</w:t>
        <w:t xml:space="preserve">.  </w:t>
      </w:r>
      <w:r>
        <w:rPr>
          <w:b/>
        </w:rPr>
        <w:t xml:space="preserve">Funding.</w:t>
        <w:t xml:space="preserve"> </w:t>
      </w:r>
      <w:r>
        <w:t xml:space="preserve"> </w:t>
      </w:r>
      <w:r>
        <w:t xml:space="preserve">The Department of Labor may accept funds, public or private, and may expend the funds for purposes that are consistent with this subchapter.  Any funds received under this subchapter must be deposited in a nonlapsing account and any balance remaining at the end of each fiscal year must be carried forward to the next fiscal year for use consistent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OOO, §1 (NEW).]</w:t>
      </w:r>
    </w:p>
    <w:p>
      <w:pPr>
        <w:jc w:val="both"/>
        <w:spacing w:before="100" w:after="0"/>
        <w:ind w:start="360"/>
        <w:ind w:firstLine="360"/>
      </w:pPr>
      <w:r>
        <w:rPr>
          <w:b/>
        </w:rPr>
        <w:t>5</w:t>
        <w:t xml:space="preserve">.  </w:t>
      </w:r>
      <w:r>
        <w:rPr>
          <w:b/>
        </w:rPr>
        <w:t xml:space="preserve">Transfer of funds.</w:t>
        <w:t xml:space="preserve"> </w:t>
      </w:r>
      <w:r>
        <w:t xml:space="preserve"> </w:t>
      </w:r>
      <w:r>
        <w:t xml:space="preserve">Notwithstanding any provision of law to the contrary, amounts may be transferred by financial order upon the recommendation of the State Budget Officer and approval of the Governor.  These transfers are not considered adjustments to appropriations.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OOO,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OOO,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§2041. Targeted Workforce Investment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§2041. Targeted Workforce Investment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§2041. TARGETED WORKFORCE INVESTMENT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