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Continuation of health insurance coverage during strike;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Continuation of health insurance coverage during strike;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§634. CONTINUATION OF HEALTH INSURANCE COVERAGE DURING STRIKE;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