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834</w:t>
        <w:t xml:space="preserve">.  </w:t>
      </w:r>
      <w:r>
        <w:rPr>
          <w:b/>
        </w:rPr>
        <w:t xml:space="preserve">Civil actions for injunctive relief or other remedies</w:t>
      </w:r>
    </w:p>
    <w:p>
      <w:pPr>
        <w:jc w:val="both"/>
        <w:spacing w:before="100" w:after="100"/>
        <w:ind w:start="360"/>
      </w:pPr>
      <w:r>
        <w:rPr>
          <w:b/>
        </w:rPr>
        <w:t>(REALLOCATED FROM TITLE 26, SECTION 824)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PL 1983, c. 816, §A18 (AMD). PL 1987, c. 782,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§834. Civil actions for injunctive relief or other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§834. Civil actions for injunctive relief or other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§834. CIVIL ACTIONS FOR INJUNCTIVE RELIEF OR OTHER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