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836</w:t>
        <w:t xml:space="preserve">.  </w:t>
      </w:r>
      <w:r>
        <w:rPr>
          <w:b/>
        </w:rPr>
        <w:t xml:space="preserve">Penalties for violations</w:t>
      </w:r>
    </w:p>
    <w:p>
      <w:pPr>
        <w:jc w:val="both"/>
        <w:spacing w:before="100" w:after="100"/>
        <w:ind w:start="360"/>
      </w:pPr>
      <w:r>
        <w:rPr>
          <w:b/>
        </w:rPr>
        <w:t>(REALLOCATED FROM TITLE 26, SECTION 826)</w:t>
      </w:r>
    </w:p>
    <w:p>
      <w:pPr>
        <w:jc w:val="both"/>
        <w:spacing w:before="100" w:after="100"/>
        <w:ind w:start="360"/>
        <w:ind w:firstLine="360"/>
      </w:pPr>
      <w:r>
        <w:rPr/>
      </w:r>
      <w:r>
        <w:rPr/>
      </w:r>
      <w:r>
        <w:t xml:space="preserve">A person who violates </w:t>
      </w:r>
      <w:r>
        <w:t>section 839</w:t>
      </w:r>
      <w:r>
        <w:t xml:space="preserve"> is liable for a civil fine of $10 for each day of willful violation which shall not be suspended.  Any civil fine imposed under this section shall be submitted to the Treasurer of State for deposit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816,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§836.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§836.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§836.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