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838</w:t>
        <w:t xml:space="preserve">.  </w:t>
      </w:r>
      <w:r>
        <w:rPr>
          <w:b/>
        </w:rPr>
        <w:t xml:space="preserve">Compensation for employee participation in investigation, hearing or inquiry</w:t>
      </w:r>
    </w:p>
    <w:p>
      <w:pPr>
        <w:jc w:val="both"/>
        <w:spacing w:before="100" w:after="100"/>
        <w:ind w:start="360"/>
      </w:pPr>
      <w:r>
        <w:rPr>
          <w:b/>
        </w:rPr>
        <w:t>(REALLOCATED FROM TITLE 26, SECTION 828)</w:t>
      </w:r>
    </w:p>
    <w:p>
      <w:pPr>
        <w:jc w:val="both"/>
        <w:spacing w:before="100" w:after="100"/>
        <w:ind w:start="360"/>
        <w:ind w:firstLine="360"/>
      </w:pPr>
      <w:r>
        <w:rPr/>
      </w:r>
      <w:r>
        <w:rPr/>
      </w:r>
      <w:r>
        <w:t xml:space="preserve">This subchapter shall not be construed to require an employer to compensate an employee for participation in an investigation, hearing or inquiry held by a public body in accordance with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§838. Compensation for employee participation in investigation, hearing or inquiry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§838. Compensation for employee participation in investigation, hearing or inquiry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§838. COMPENSATION FOR EMPLOYEE PARTICIPATION IN INVESTIGATION, HEARING OR INQUIRY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