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Policy</w:t>
      </w:r>
    </w:p>
    <w:p>
      <w:pPr>
        <w:jc w:val="both"/>
        <w:spacing w:before="100" w:after="100"/>
        <w:ind w:start="360"/>
        <w:ind w:firstLine="360"/>
      </w:pPr>
      <w:r>
        <w:rPr/>
      </w:r>
      <w:r>
        <w:rPr/>
      </w:r>
      <w:r>
        <w:t xml:space="preserve">It is declared to be the policy of the State, in the exercise of its police power for the protection of the public safety and for the maintenance of peace and good order and for the promotion of the state's trade, commerce and manufacturing, to assure all persons involved in labor strikes or lockouts, freedom of speech and freedom from bodily harm and to prohibit the occasion of violence and disorder and in furtherance of these policies, to prohibit the recruitment and furnishing of professional strikebreakers to replace the employees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