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410-A</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Director of the Maine Arts Commission shall designate a nonprofit organization as the private support organization for the Maine Arts Commission. The designated organization must be incorporated as a nonprofit corporation under the laws of the State, and its sole purpose, as reflected in its bylaws, must be to organize and foster support for the Maine Arts Commission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2</w:t>
        <w:t xml:space="preserve">.  </w:t>
      </w:r>
      <w:r>
        <w:rPr>
          <w:b/>
        </w:rPr>
        <w:t xml:space="preserve">Member on board of directors.</w:t>
        <w:t xml:space="preserve"> </w:t>
      </w:r>
      <w:r>
        <w:t xml:space="preserve"> </w:t>
      </w:r>
      <w:r>
        <w:t xml:space="preserve">The Director of the Maine Arts Commission, or the director’s designee, shall serve as a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Director of the Maine Arts Commission shall negotiate an annual memorandum of understanding between the Maine Arts Commission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Director of the Maine Arts Commission may permit the appropriate use of fixed property, equipment and facilities of the Maine Arts Commission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§410-A. Private support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§410-A. Private support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§410-A. PRIVATE SUPPORT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