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Cultural agencies.</w:t>
        <w:t xml:space="preserve"> </w:t>
      </w:r>
      <w:r>
        <w:t xml:space="preserve"> </w:t>
      </w:r>
      <w:r>
        <w:t xml:space="preserve">"Cultural agencies" means the Maine Arts Commission, the Maine Historic Preservation Commission, the Maine Library Commission, the Maine State Museum Commission, the Maine Humanities Council, the Maine Historical Society and the Maine State Archives and programs of these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w:pPr>
        <w:jc w:val="both"/>
        <w:spacing w:before="100" w:after="0"/>
        <w:ind w:start="360"/>
        <w:ind w:firstLine="360"/>
      </w:pPr>
      <w:r>
        <w:rPr>
          <w:b/>
        </w:rPr>
        <w:t>2</w:t>
        <w:t xml:space="preserve">.  </w:t>
      </w:r>
      <w:r>
        <w:rPr>
          <w:b/>
        </w:rPr>
        <w:t xml:space="preserve">Directors.</w:t>
        <w:t xml:space="preserve"> </w:t>
      </w:r>
      <w:r>
        <w:t xml:space="preserve"> </w:t>
      </w:r>
      <w:r>
        <w:t xml:space="preserve">"Directors" means the Director of the Maine Arts Commission, the Director of the Maine Historic Preservation Commission, the State Librarian, the Director of the Maine State Museum, the Director of the Maine Humanities Council, the Director of the Maine Historical Society and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PL 1999, c. 573,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