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w:t>
        <w:t xml:space="preserve">.  </w:t>
      </w:r>
      <w:r>
        <w:rPr>
          <w:b/>
        </w:rPr>
        <w:t xml:space="preserve">Investigation by a criminal justice agency of unlawful activity</w:t>
      </w:r>
    </w:p>
    <w:p>
      <w:pPr>
        <w:jc w:val="both"/>
        <w:spacing w:before="100" w:after="100"/>
        <w:ind w:start="360"/>
        <w:ind w:firstLine="360"/>
      </w:pPr>
      <w:r>
        <w:rPr/>
      </w:r>
      <w:r>
        <w:rPr/>
      </w:r>
      <w:r>
        <w:t xml:space="preserve">A criminal justice agency may investigate unlawful activity in relation to a cannabis establishment and may conduct a criminal history record check of a licensee or its employees during an investigation of unlawful activity in relation to a cannabis establishment.</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 Investigation by a criminal justice agency of unlawful activity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 Investigation by a criminal justice agency of unlawful activity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§110. INVESTIGATION BY A CRIMINAL JUSTICE AGENCY OF UNLAWFUL ACTIVITY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