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406</w:t>
        <w:t xml:space="preserve">.  </w:t>
      </w:r>
      <w:r>
        <w:rPr>
          <w:b/>
        </w:rPr>
        <w:t xml:space="preserve">Notification to department</w:t>
      </w:r>
    </w:p>
    <w:p>
      <w:pPr>
        <w:jc w:val="both"/>
        <w:spacing w:before="100" w:after="100"/>
        <w:ind w:start="360"/>
        <w:ind w:firstLine="360"/>
      </w:pPr>
      <w:r>
        <w:rPr/>
      </w:r>
      <w:r>
        <w:rPr/>
      </w:r>
      <w:r>
        <w:t xml:space="preserve">A municipality shall notify the department within 14 days of the date the municipality authorizes the operation of a cannabis establishment within the municipality; issues or renews a license for the operation of a cannabis establishment within the municipality; withdraws authorization or suspends or revokes a license for the operation of a cannabis establishment within the municipality; approves relocation of the licensed premises of a cannabis establishment to the municipality; or approves a transfer of ownership interests in a license the licensed premises of which are located within the municipality. For the purposes of this section, "municipality" has the same meaning as in </w:t>
      </w:r>
      <w:r>
        <w:t>section 212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100"/>
        <w:ind w:start="360"/>
        <w:ind w:firstLine="360"/>
      </w:pPr>
      <w:r>
        <w:rPr/>
      </w:r>
      <w:r>
        <w:rPr/>
      </w:r>
      <w:r>
        <w:t xml:space="preserve">The department shall provide the Bureau of Revenue Services with any information received pursuant to this section within 14 days of the date the department receives that information.</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§406. Notification to department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§406. Notification to department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§406. NOTIFICATION TO DEPARTMENT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