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or sale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634, §22 (AMD).]</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§22 (AMD).]</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PL 2023, c. 634,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§1113. Catalytic converters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Catalytic converters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§1113. CATALYTIC CONVERTERS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