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Asset forfeiture</w:t>
      </w:r>
    </w:p>
    <w:p>
      <w:pPr>
        <w:jc w:val="both"/>
        <w:spacing w:before="100" w:after="100"/>
        <w:ind w:start="360"/>
        <w:ind w:firstLine="360"/>
      </w:pPr>
      <w:r>
        <w:rPr/>
      </w:r>
      <w:r>
        <w:rPr/>
      </w:r>
      <w:r>
        <w:t xml:space="preserve">Funds or assets forfeited pursuant to </w:t>
      </w:r>
      <w:r>
        <w:t>Title 15, chapter 517</w:t>
      </w:r>
      <w:r>
        <w:t xml:space="preserve"> may be awarded to the bureau.  Funds or assets received in accordance with this section must be used for law enforcement training or for law enforcement equipment.</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 (NEW);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§§A153,C15 (AFF). PL 1995, c. 65,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 Asset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Asset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§158. ASSET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