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1605-A</w:t>
        <w:t xml:space="preserve">.  </w:t>
      </w:r>
      <w:r>
        <w:rPr>
          <w:b/>
        </w:rPr>
        <w:t xml:space="preserve">Medical payments</w:t>
      </w:r>
    </w:p>
    <w:p>
      <w:pPr>
        <w:jc w:val="both"/>
        <w:spacing w:before="100" w:after="100"/>
        <w:ind w:start="360"/>
        <w:ind w:firstLine="360"/>
      </w:pPr>
      <w:r>
        <w:rPr/>
      </w:r>
      <w:r>
        <w:rPr/>
      </w:r>
      <w:r>
        <w:t xml:space="preserve">A motor vehicle liability policy issued for a motor vehicle registered or principally garaged in this State must provide coverage in an amount equal to or greater than $2,000 per person for medical costs incurred as a result of injuries sustained in an accident involving the insured vehicle by the driver and passengers in that vehicle.  The coverage required by this section only applies to medical costs incurred during one year following the date the injuries are sustained.  This section does not apply to a policy insuring more than 4 motor vehicles, nor to any policy covering a garage, automobile sales agency, repair shop, service station or public parking place.</w:t>
      </w:r>
      <w:r>
        <w:t xml:space="preserve">  </w:t>
      </w:r>
      <w:r xmlns:wp="http://schemas.openxmlformats.org/drawingml/2010/wordprocessingDrawing" xmlns:w15="http://schemas.microsoft.com/office/word/2012/wordml">
        <w:rPr>
          <w:rFonts w:ascii="Arial" w:hAnsi="Arial" w:cs="Arial"/>
          <w:sz w:val="22"/>
          <w:szCs w:val="22"/>
        </w:rPr>
        <w:t xml:space="preserve">[PL 2007, c. 213, §2 (AMD); PL 2007, c. 213,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176, §6 (NEW). PL 1997, c. 176, §8 (AFF). PL 1997, c. 776, §40 (AMD). PL 2007, c. 213, §2 (AMD). PL 2007, c. 213,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§1605-A. Medical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§1605-A. Medical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§1605-A. MEDICAL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