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Motor vehicle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§1751. MOTOR VEHICLE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