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Abandonment of vehicle on public way</w:t>
      </w:r>
    </w:p>
    <w:p>
      <w:pPr>
        <w:jc w:val="both"/>
        <w:spacing w:before="100" w:after="100"/>
        <w:ind w:start="360"/>
        <w:ind w:firstLine="360"/>
      </w:pPr>
      <w:r>
        <w:rPr/>
      </w:r>
      <w:r>
        <w:rPr/>
      </w:r>
      <w:r>
        <w:t xml:space="preserve">Abandonment of a vehicle on a public way is a traffic infraction for which a fine of not less than $250 must be assessed.  A person who is found to have abandoned a vehicle under this section is responsible for any towing or other charges that are directly related to the abandonment of the vehicle.</w:t>
      </w:r>
      <w:r>
        <w:t xml:space="preserve">  </w:t>
      </w:r>
      <w:r xmlns:wp="http://schemas.openxmlformats.org/drawingml/2010/wordprocessingDrawing" xmlns:w15="http://schemas.microsoft.com/office/word/2012/wordml">
        <w:rPr>
          <w:rFonts w:ascii="Arial" w:hAnsi="Arial" w:cs="Arial"/>
          <w:sz w:val="22"/>
          <w:szCs w:val="22"/>
        </w:rPr>
        <w:t xml:space="preserve">[PL 2007,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§A103 (AMD). PL 1995, c. 65, §§A153,C15 (AFF). PL 2007, c. 150,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§1858. Abandonment of vehicle on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Abandonment of vehicle on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§1858. ABANDONMENT OF VEHICLE ON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