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Registration lamp</w:t>
      </w:r>
    </w:p>
    <w:p>
      <w:pPr>
        <w:jc w:val="both"/>
        <w:spacing w:before="100" w:after="100"/>
        <w:ind w:start="360"/>
        <w:ind w:firstLine="360"/>
      </w:pPr>
      <w:r>
        <w:rPr/>
      </w:r>
      <w:r>
        <w:rPr/>
      </w:r>
      <w:r>
        <w:t xml:space="preserve">A vehicle must have a white light capable of illuminating the rear registration plate so that the characters on the plate are visible for a distance of at least 50 feet.  This section does not apply to unregistered farm tractors or vehicles with valid temporary plates issued by licensed car dealers.</w:t>
      </w:r>
      <w:r>
        <w:t xml:space="preserve">  </w:t>
      </w:r>
      <w:r xmlns:wp="http://schemas.openxmlformats.org/drawingml/2010/wordprocessingDrawing" xmlns:w15="http://schemas.microsoft.com/office/word/2012/wordml">
        <w:rPr>
          <w:rFonts w:ascii="Arial" w:hAnsi="Arial" w:cs="Arial"/>
          <w:sz w:val="22"/>
          <w:szCs w:val="22"/>
        </w:rPr>
        <w:t xml:space="preserve">[PL 2021, c. 216,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216,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§1909. Registration lamp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Registration lamp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 REGISTRATION LAMP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