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1914</w:t>
        <w:t xml:space="preserve">.  </w:t>
      </w:r>
      <w:r>
        <w:rPr>
          <w:b/>
        </w:rPr>
        <w:t xml:space="preserve">Safety seat belts</w:t>
      </w:r>
    </w:p>
    <w:p>
      <w:pPr>
        <w:jc w:val="both"/>
        <w:spacing w:before="100" w:after="0"/>
        <w:ind w:start="360"/>
        <w:ind w:firstLine="360"/>
      </w:pPr>
      <w:r>
        <w:rPr>
          <w:b/>
        </w:rPr>
        <w:t>1</w:t>
        <w:t xml:space="preserve">.  </w:t>
      </w:r>
      <w:r>
        <w:rPr>
          <w:b/>
        </w:rPr>
        <w:t xml:space="preserve">Safety seat belts required.</w:t>
        <w:t xml:space="preserve"> </w:t>
      </w:r>
      <w:r>
        <w:t xml:space="preserve"> </w:t>
      </w:r>
      <w:r>
        <w:t xml:space="preserve">A person may not buy, sell, lease, trade or transfer from or to a resident at retail a model year 1966 or later motor vehicle, unless that vehicle is equipped with safety seat belts installed for use in the left and right front seats.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§1914. Safety seat belts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§1914. Safety seat belts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§1914. SAFETY SEAT BELTS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