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2080</w:t>
        <w:t xml:space="preserve">.  </w:t>
      </w:r>
      <w:r>
        <w:rPr>
          <w:b/>
        </w:rPr>
        <w:t xml:space="preserve">Operation of all-terrain and off-road vehicles</w:t>
      </w:r>
    </w:p>
    <w:p>
      <w:pPr>
        <w:jc w:val="both"/>
        <w:spacing w:before="100" w:after="100"/>
        <w:ind w:start="360"/>
        <w:ind w:firstLine="360"/>
      </w:pPr>
      <w:r>
        <w:rPr/>
      </w:r>
      <w:r>
        <w:rPr/>
      </w:r>
      <w:r>
        <w:t xml:space="preserve">Notwithstanding any other provision of law, whenever an all-terrain vehicle or off-road vehicle is operated on a way, the vehicle and operator are subject to all provisions of this Title, except </w:t>
      </w:r>
      <w:r>
        <w:t>chapters 5</w:t>
      </w:r>
      <w:r>
        <w:t xml:space="preserve">, </w:t>
      </w:r>
      <w:r>
        <w:t>7</w:t>
      </w:r>
      <w:r>
        <w:t xml:space="preserve">, </w:t>
      </w:r>
      <w:r>
        <w:t>13</w:t>
      </w:r>
      <w:r>
        <w:t xml:space="preserve"> and </w:t>
      </w:r>
      <w:r>
        <w:t>15</w:t>
      </w:r>
      <w:r>
        <w:t xml:space="preserve">.  Whenever an all-terrain vehicle or off-road vehicle is operated on a way, the operator is not subject to the provisions of </w:t>
      </w:r>
      <w:r>
        <w:t>chapter 11</w:t>
      </w:r>
      <w:r>
        <w:t xml:space="preserve">, except when an all-terrain vehicle is permitted in accordance with </w:t>
      </w:r>
      <w:r>
        <w:t>section 501,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577,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§B10 (AMD). PL 2005, c. 577,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§2080. Operation of all-terrain and off-road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§2080. Operation of all-terrain and off-road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§2080. OPERATION OF ALL-TERRAIN AND OFF-ROAD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